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EB64F" w14:textId="77777777"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14:paraId="5A04E8E9" w14:textId="77777777"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0968285C" w14:textId="77777777" w:rsidR="000C12B4" w:rsidRDefault="00B35250"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14:paraId="7BE1129B" w14:textId="77777777" w:rsidR="00021995" w:rsidRPr="00021995" w:rsidRDefault="001F2B50" w:rsidP="00021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Pr>
          <w:rFonts w:ascii="Sylfaen" w:hAnsi="Sylfaen" w:cs="Sylfaen"/>
          <w:b/>
          <w:bCs/>
          <w:sz w:val="24"/>
          <w:szCs w:val="24"/>
          <w:lang w:val="ka-GE"/>
        </w:rPr>
        <w:t>„</w:t>
      </w:r>
      <w:r w:rsidR="00021995" w:rsidRPr="00021995">
        <w:rPr>
          <w:rFonts w:ascii="Sylfaen" w:hAnsi="Sylfaen" w:cs="Sylfaen"/>
          <w:b/>
          <w:bCs/>
          <w:sz w:val="24"/>
          <w:szCs w:val="24"/>
          <w:lang w:val="ka-GE"/>
        </w:rPr>
        <w:t>არასრულწლოვანთა</w:t>
      </w:r>
      <w:r w:rsidR="00021995" w:rsidRPr="00021995">
        <w:rPr>
          <w:b/>
          <w:bCs/>
          <w:sz w:val="24"/>
          <w:szCs w:val="24"/>
          <w:lang w:val="ka-GE"/>
        </w:rPr>
        <w:t xml:space="preserve"> </w:t>
      </w:r>
      <w:r w:rsidR="00021995" w:rsidRPr="00021995">
        <w:rPr>
          <w:rFonts w:ascii="Sylfaen" w:hAnsi="Sylfaen" w:cs="Sylfaen"/>
          <w:b/>
          <w:bCs/>
          <w:sz w:val="24"/>
          <w:szCs w:val="24"/>
          <w:lang w:val="ka-GE"/>
        </w:rPr>
        <w:t>მართლმსაჯულების</w:t>
      </w:r>
      <w:r w:rsidR="00021995" w:rsidRPr="00021995">
        <w:rPr>
          <w:b/>
          <w:bCs/>
          <w:sz w:val="24"/>
          <w:szCs w:val="24"/>
          <w:lang w:val="ka-GE"/>
        </w:rPr>
        <w:t xml:space="preserve"> </w:t>
      </w:r>
      <w:r w:rsidR="00021995" w:rsidRPr="00021995">
        <w:rPr>
          <w:rFonts w:ascii="Sylfaen" w:hAnsi="Sylfaen" w:cs="Sylfaen"/>
          <w:b/>
          <w:bCs/>
          <w:sz w:val="24"/>
          <w:szCs w:val="24"/>
          <w:lang w:val="ka-GE"/>
        </w:rPr>
        <w:t>კოდექსში</w:t>
      </w:r>
      <w:r w:rsidR="00021995" w:rsidRPr="00021995">
        <w:rPr>
          <w:b/>
          <w:bCs/>
          <w:sz w:val="24"/>
          <w:szCs w:val="24"/>
          <w:lang w:val="ka-GE"/>
        </w:rPr>
        <w:t xml:space="preserve"> </w:t>
      </w:r>
      <w:r w:rsidR="00021995" w:rsidRPr="00021995">
        <w:rPr>
          <w:rFonts w:ascii="Sylfaen" w:hAnsi="Sylfaen" w:cs="Sylfaen"/>
          <w:b/>
          <w:bCs/>
          <w:sz w:val="24"/>
          <w:szCs w:val="24"/>
          <w:lang w:val="ka-GE"/>
        </w:rPr>
        <w:t>ცვლილების</w:t>
      </w:r>
      <w:r w:rsidR="00021995" w:rsidRPr="00021995">
        <w:rPr>
          <w:b/>
          <w:bCs/>
          <w:sz w:val="24"/>
          <w:szCs w:val="24"/>
          <w:lang w:val="ka-GE"/>
        </w:rPr>
        <w:t xml:space="preserve"> </w:t>
      </w:r>
      <w:r w:rsidR="00021995" w:rsidRPr="00021995">
        <w:rPr>
          <w:rFonts w:ascii="Sylfaen" w:hAnsi="Sylfaen" w:cs="Sylfaen"/>
          <w:b/>
          <w:bCs/>
          <w:sz w:val="24"/>
          <w:szCs w:val="24"/>
          <w:lang w:val="ka-GE"/>
        </w:rPr>
        <w:t>შეტანის</w:t>
      </w:r>
      <w:r w:rsidR="00021995" w:rsidRPr="00021995">
        <w:rPr>
          <w:b/>
          <w:bCs/>
          <w:sz w:val="24"/>
          <w:szCs w:val="24"/>
          <w:lang w:val="ka-GE"/>
        </w:rPr>
        <w:t xml:space="preserve"> </w:t>
      </w:r>
      <w:r w:rsidR="00021995" w:rsidRPr="00021995">
        <w:rPr>
          <w:rFonts w:ascii="Sylfaen" w:hAnsi="Sylfaen" w:cs="Sylfaen"/>
          <w:b/>
          <w:bCs/>
          <w:sz w:val="24"/>
          <w:szCs w:val="24"/>
          <w:lang w:val="ka-GE"/>
        </w:rPr>
        <w:t>შესახებ</w:t>
      </w:r>
      <w:r>
        <w:rPr>
          <w:rFonts w:ascii="Sylfaen" w:hAnsi="Sylfaen" w:cs="Sylfaen"/>
          <w:b/>
          <w:bCs/>
          <w:sz w:val="24"/>
          <w:szCs w:val="24"/>
          <w:lang w:val="ka-GE"/>
        </w:rPr>
        <w:t>“</w:t>
      </w:r>
    </w:p>
    <w:p w14:paraId="0493C590" w14:textId="77777777" w:rsidR="00021995" w:rsidRPr="00021995" w:rsidRDefault="00021995" w:rsidP="00021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p>
    <w:p w14:paraId="340EE587" w14:textId="77777777" w:rsidR="00EF6101" w:rsidRDefault="00021995" w:rsidP="00021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eastAsia="Times New Roman" w:hAnsi="Sylfaen" w:cs="Times New Roman"/>
          <w:sz w:val="24"/>
          <w:szCs w:val="24"/>
          <w:lang w:val="ka-GE"/>
        </w:rPr>
      </w:pPr>
      <w:r w:rsidRPr="00021995">
        <w:rPr>
          <w:rFonts w:ascii="Sylfaen" w:hAnsi="Sylfaen" w:cs="Sylfaen"/>
          <w:b/>
          <w:bCs/>
          <w:sz w:val="24"/>
          <w:szCs w:val="24"/>
          <w:lang w:val="ka-GE"/>
        </w:rPr>
        <w:t>მუხლი</w:t>
      </w:r>
      <w:r w:rsidRPr="00021995">
        <w:rPr>
          <w:b/>
          <w:bCs/>
          <w:sz w:val="24"/>
          <w:szCs w:val="24"/>
          <w:lang w:val="ka-GE"/>
        </w:rPr>
        <w:t xml:space="preserve"> 1. </w:t>
      </w:r>
      <w:r w:rsidRPr="00021995">
        <w:rPr>
          <w:rFonts w:ascii="Sylfaen" w:eastAsia="Times New Roman" w:hAnsi="Sylfaen" w:cs="Times New Roman"/>
          <w:sz w:val="24"/>
          <w:szCs w:val="24"/>
          <w:lang w:val="ka-GE"/>
        </w:rPr>
        <w:t>არასრულწლოვანთა მართლმსაჯულების კოდექს</w:t>
      </w:r>
      <w:r w:rsidR="00EF6101">
        <w:rPr>
          <w:rFonts w:ascii="Sylfaen" w:eastAsia="Times New Roman" w:hAnsi="Sylfaen" w:cs="Times New Roman"/>
          <w:sz w:val="24"/>
          <w:szCs w:val="24"/>
          <w:lang w:val="ka-GE"/>
        </w:rPr>
        <w:t>შ</w:t>
      </w:r>
      <w:r w:rsidRPr="00021995">
        <w:rPr>
          <w:rFonts w:ascii="Sylfaen" w:eastAsia="Times New Roman" w:hAnsi="Sylfaen" w:cs="Times New Roman"/>
          <w:sz w:val="24"/>
          <w:szCs w:val="24"/>
          <w:lang w:val="ka-GE"/>
        </w:rPr>
        <w:t>ი (საქართველოს საკანონმდებლო მაცნე (www.matsne.gov.ge), 24.06.2015, სარეგისტრაციო კოდი: 080060000.05.001.017792)</w:t>
      </w:r>
      <w:r w:rsidR="00EF6101">
        <w:rPr>
          <w:rFonts w:ascii="Sylfaen" w:eastAsia="Times New Roman" w:hAnsi="Sylfaen" w:cs="Times New Roman"/>
          <w:sz w:val="24"/>
          <w:szCs w:val="24"/>
          <w:lang w:val="ka-GE"/>
        </w:rPr>
        <w:t xml:space="preserve"> შეტანილ იქნეს შემდეგი ცვლილება:</w:t>
      </w:r>
    </w:p>
    <w:p w14:paraId="3A883912" w14:textId="77777777" w:rsidR="00EF6101" w:rsidRDefault="00EF6101" w:rsidP="00021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eastAsia="Times New Roman" w:hAnsi="Sylfaen" w:cs="Times New Roman"/>
          <w:sz w:val="24"/>
          <w:szCs w:val="24"/>
          <w:lang w:val="ka-GE"/>
        </w:rPr>
      </w:pPr>
    </w:p>
    <w:p w14:paraId="170236E4" w14:textId="77777777" w:rsidR="00EF6101" w:rsidRDefault="00EF6101" w:rsidP="00021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eastAsia="Times New Roman" w:hAnsi="Sylfaen" w:cs="Times New Roman"/>
          <w:sz w:val="24"/>
          <w:szCs w:val="24"/>
          <w:lang w:val="ka-GE"/>
        </w:rPr>
      </w:pPr>
    </w:p>
    <w:p w14:paraId="4B008A04" w14:textId="77777777" w:rsidR="00D83AF7" w:rsidRPr="00EF6101" w:rsidRDefault="00021995" w:rsidP="00EF6101">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jc w:val="both"/>
        <w:rPr>
          <w:rFonts w:ascii="Sylfaen" w:eastAsia="Times New Roman" w:hAnsi="Sylfaen" w:cs="Times New Roman"/>
          <w:sz w:val="24"/>
          <w:szCs w:val="24"/>
          <w:lang w:val="ka-GE"/>
        </w:rPr>
      </w:pPr>
      <w:r w:rsidRPr="00EF6101">
        <w:rPr>
          <w:rFonts w:ascii="Sylfaen" w:eastAsia="Times New Roman" w:hAnsi="Sylfaen" w:cs="Times New Roman"/>
          <w:sz w:val="24"/>
          <w:szCs w:val="24"/>
          <w:lang w:val="ka-GE"/>
        </w:rPr>
        <w:t xml:space="preserve"> მე-</w:t>
      </w:r>
      <w:r w:rsidR="00730AEF" w:rsidRPr="00EF6101">
        <w:rPr>
          <w:rFonts w:ascii="Sylfaen" w:eastAsia="Times New Roman" w:hAnsi="Sylfaen" w:cs="Times New Roman"/>
          <w:sz w:val="24"/>
          <w:szCs w:val="24"/>
          <w:lang w:val="ka-GE"/>
        </w:rPr>
        <w:t xml:space="preserve">10 </w:t>
      </w:r>
      <w:r w:rsidRPr="00EF6101">
        <w:rPr>
          <w:rFonts w:ascii="Sylfaen" w:eastAsia="Times New Roman" w:hAnsi="Sylfaen" w:cs="Times New Roman"/>
          <w:sz w:val="24"/>
          <w:szCs w:val="24"/>
          <w:lang w:val="ka-GE"/>
        </w:rPr>
        <w:t xml:space="preserve">მუხლს </w:t>
      </w:r>
      <w:r w:rsidR="00730AEF" w:rsidRPr="00EF6101">
        <w:rPr>
          <w:rFonts w:ascii="Sylfaen" w:eastAsia="Times New Roman" w:hAnsi="Sylfaen" w:cs="Times New Roman"/>
          <w:sz w:val="24"/>
          <w:szCs w:val="24"/>
          <w:lang w:val="ka-GE"/>
        </w:rPr>
        <w:t xml:space="preserve">დაემატოს შემდეგი შინაარსის </w:t>
      </w:r>
      <w:r w:rsidRPr="00EF6101">
        <w:rPr>
          <w:rFonts w:ascii="Sylfaen" w:eastAsia="Times New Roman" w:hAnsi="Sylfaen" w:cs="Times New Roman"/>
          <w:sz w:val="24"/>
          <w:szCs w:val="24"/>
          <w:lang w:val="ka-GE"/>
        </w:rPr>
        <w:t>მე-</w:t>
      </w:r>
      <w:r w:rsidR="00730AEF" w:rsidRPr="00EF6101">
        <w:rPr>
          <w:rFonts w:ascii="Sylfaen" w:eastAsia="Times New Roman" w:hAnsi="Sylfaen" w:cs="Times New Roman"/>
          <w:sz w:val="24"/>
          <w:szCs w:val="24"/>
          <w:lang w:val="ka-GE"/>
        </w:rPr>
        <w:t>5</w:t>
      </w:r>
      <w:r w:rsidRPr="00EF6101">
        <w:rPr>
          <w:rFonts w:ascii="Sylfaen" w:eastAsia="Times New Roman" w:hAnsi="Sylfaen" w:cs="Times New Roman"/>
          <w:sz w:val="24"/>
          <w:szCs w:val="24"/>
          <w:lang w:val="ka-GE"/>
        </w:rPr>
        <w:t xml:space="preserve"> ნაწილი:</w:t>
      </w:r>
    </w:p>
    <w:p w14:paraId="6EBB9657" w14:textId="77777777" w:rsidR="00730AEF" w:rsidRDefault="00730AEF" w:rsidP="00730AEF">
      <w:pPr>
        <w:pStyle w:val="ListParagraph"/>
        <w:ind w:left="0" w:firstLine="720"/>
        <w:jc w:val="both"/>
        <w:rPr>
          <w:rFonts w:ascii="Sylfaen" w:eastAsiaTheme="minorHAnsi" w:hAnsi="Sylfaen"/>
          <w:sz w:val="24"/>
          <w:szCs w:val="24"/>
          <w:lang w:val="ka-GE"/>
        </w:rPr>
      </w:pPr>
    </w:p>
    <w:p w14:paraId="2D836E1C" w14:textId="77777777" w:rsidR="006264F3" w:rsidRDefault="00730AEF" w:rsidP="00507223">
      <w:pPr>
        <w:pStyle w:val="ListParagraph"/>
        <w:ind w:left="0" w:firstLine="720"/>
        <w:jc w:val="both"/>
        <w:rPr>
          <w:rFonts w:ascii="Sylfaen" w:eastAsiaTheme="minorHAnsi" w:hAnsi="Sylfaen" w:cstheme="minorBidi"/>
          <w:sz w:val="24"/>
          <w:szCs w:val="24"/>
          <w:lang w:val="ka-GE"/>
        </w:rPr>
      </w:pPr>
      <w:r w:rsidRPr="00730AEF">
        <w:rPr>
          <w:rFonts w:ascii="Sylfaen" w:eastAsiaTheme="minorHAnsi" w:hAnsi="Sylfaen"/>
          <w:sz w:val="24"/>
          <w:szCs w:val="24"/>
          <w:lang w:val="ka-GE"/>
        </w:rPr>
        <w:t>„</w:t>
      </w:r>
      <w:r w:rsidR="008735F1" w:rsidRPr="00730AEF">
        <w:rPr>
          <w:rFonts w:ascii="Sylfaen" w:eastAsiaTheme="minorHAnsi" w:hAnsi="Sylfaen"/>
          <w:sz w:val="24"/>
          <w:szCs w:val="24"/>
          <w:lang w:val="ka-GE"/>
        </w:rPr>
        <w:t xml:space="preserve">5. </w:t>
      </w:r>
      <w:r>
        <w:rPr>
          <w:rFonts w:ascii="Sylfaen" w:eastAsiaTheme="minorHAnsi" w:hAnsi="Sylfaen"/>
          <w:sz w:val="24"/>
          <w:szCs w:val="24"/>
          <w:lang w:val="ka-GE"/>
        </w:rPr>
        <w:t xml:space="preserve">არასრულწლოვანთა მართლმსაჯულების პროცესში არასრულწლოვნის მონაწილეობით ქმედების განხორციელებისას უფლებამოსილი ორგანოები ვალდებულნი არიან არასრულწლოვანს მიაწოდონ ინფორმაცია </w:t>
      </w:r>
      <w:r w:rsidR="00507223">
        <w:rPr>
          <w:rFonts w:ascii="Sylfaen" w:hAnsi="Sylfaen"/>
          <w:sz w:val="24"/>
          <w:szCs w:val="24"/>
          <w:lang w:val="ka-GE"/>
        </w:rPr>
        <w:t xml:space="preserve">მისი უფლებების, </w:t>
      </w:r>
      <w:r w:rsidR="00507223">
        <w:rPr>
          <w:rFonts w:ascii="Sylfaen" w:eastAsiaTheme="minorHAnsi" w:hAnsi="Sylfaen" w:cstheme="minorBidi"/>
          <w:sz w:val="24"/>
          <w:szCs w:val="24"/>
          <w:lang w:val="ka-GE"/>
        </w:rPr>
        <w:t xml:space="preserve">მართლმსაჯულების პროცესის, </w:t>
      </w:r>
      <w:r w:rsidR="00507223">
        <w:rPr>
          <w:rFonts w:ascii="Sylfaen" w:hAnsi="Sylfaen"/>
          <w:sz w:val="24"/>
          <w:szCs w:val="24"/>
          <w:lang w:val="ka-GE"/>
        </w:rPr>
        <w:t xml:space="preserve"> პროცესის შედეგების, </w:t>
      </w:r>
      <w:r w:rsidR="00507223">
        <w:rPr>
          <w:rFonts w:ascii="Sylfaen" w:eastAsiaTheme="minorHAnsi" w:hAnsi="Sylfaen" w:cstheme="minorBidi"/>
          <w:sz w:val="24"/>
          <w:szCs w:val="24"/>
          <w:lang w:val="ka-GE"/>
        </w:rPr>
        <w:t>მხარდაჭერის და გასაჩივრების მექანიზმების შესახებ.“.</w:t>
      </w:r>
    </w:p>
    <w:p w14:paraId="2623EE3B" w14:textId="77777777" w:rsidR="00EF6101" w:rsidRDefault="00EF6101" w:rsidP="00507223">
      <w:pPr>
        <w:pStyle w:val="ListParagraph"/>
        <w:ind w:left="0" w:firstLine="720"/>
        <w:jc w:val="both"/>
        <w:rPr>
          <w:rFonts w:ascii="Sylfaen" w:eastAsiaTheme="minorHAnsi" w:hAnsi="Sylfaen" w:cstheme="minorBidi"/>
          <w:sz w:val="24"/>
          <w:szCs w:val="24"/>
          <w:lang w:val="ka-GE"/>
        </w:rPr>
      </w:pPr>
    </w:p>
    <w:p w14:paraId="4B7720E7" w14:textId="77777777" w:rsidR="00EF6101" w:rsidRPr="00EF6101" w:rsidRDefault="00EF6101" w:rsidP="00EF6101">
      <w:pPr>
        <w:pStyle w:val="ListParagraph"/>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jc w:val="both"/>
        <w:rPr>
          <w:rFonts w:ascii="Sylfaen" w:eastAsia="Times New Roman" w:hAnsi="Sylfaen" w:cs="Times New Roman"/>
          <w:sz w:val="24"/>
          <w:szCs w:val="24"/>
          <w:lang w:val="ka-GE"/>
        </w:rPr>
      </w:pPr>
      <w:r>
        <w:rPr>
          <w:rFonts w:ascii="Sylfaen" w:eastAsiaTheme="minorHAnsi" w:hAnsi="Sylfaen" w:cstheme="minorBidi"/>
          <w:sz w:val="24"/>
          <w:szCs w:val="24"/>
          <w:lang w:val="ka-GE"/>
        </w:rPr>
        <w:t xml:space="preserve">64-ე </w:t>
      </w:r>
      <w:r w:rsidRPr="00EF6101">
        <w:rPr>
          <w:rFonts w:ascii="Sylfaen" w:eastAsia="Times New Roman" w:hAnsi="Sylfaen" w:cs="Times New Roman"/>
          <w:sz w:val="24"/>
          <w:szCs w:val="24"/>
          <w:lang w:val="ka-GE"/>
        </w:rPr>
        <w:t>მუხლს დაემატოს შემდეგი შინაარსის მე-5 ნაწილი:</w:t>
      </w:r>
    </w:p>
    <w:p w14:paraId="34362518" w14:textId="77777777" w:rsidR="00EF6101" w:rsidRPr="00EF6101" w:rsidRDefault="00EF6101" w:rsidP="00EF6101">
      <w:pPr>
        <w:jc w:val="both"/>
        <w:rPr>
          <w:rFonts w:ascii="Sylfaen" w:eastAsia="Times New Roman" w:hAnsi="Sylfaen" w:cs="Times New Roman"/>
          <w:sz w:val="24"/>
          <w:szCs w:val="24"/>
          <w:lang w:val="ka-GE"/>
        </w:rPr>
      </w:pPr>
      <w:r w:rsidRPr="00EF6101">
        <w:rPr>
          <w:rFonts w:ascii="Sylfaen" w:hAnsi="Sylfaen"/>
          <w:sz w:val="24"/>
          <w:szCs w:val="24"/>
          <w:lang w:val="ka-GE"/>
        </w:rPr>
        <w:t>„5.</w:t>
      </w:r>
      <w:r>
        <w:rPr>
          <w:rFonts w:ascii="Sylfaen" w:hAnsi="Sylfaen"/>
          <w:sz w:val="24"/>
          <w:szCs w:val="24"/>
          <w:lang w:val="ka-GE"/>
        </w:rPr>
        <w:t xml:space="preserve"> </w:t>
      </w:r>
      <w:r>
        <w:rPr>
          <w:rFonts w:ascii="Sylfaen" w:hAnsi="Sylfaen"/>
          <w:bCs/>
          <w:sz w:val="24"/>
          <w:szCs w:val="24"/>
          <w:lang w:val="ka-GE"/>
        </w:rPr>
        <w:t>პატიმრობა არ გამოიყენება საქართველოს კანონის „ბავშვის უფლებათა კოდექსი“ 26-ე მუხლის მე-5 ნაწილით გათვალისწინებული არასრულწლოვნის მიმართ.“.</w:t>
      </w:r>
    </w:p>
    <w:p w14:paraId="1C39E822" w14:textId="77777777" w:rsidR="00864883" w:rsidRPr="00864883" w:rsidRDefault="00864883" w:rsidP="00864883">
      <w:pPr>
        <w:spacing w:after="0"/>
        <w:jc w:val="both"/>
        <w:rPr>
          <w:rFonts w:ascii="Sylfaen" w:eastAsia="Times New Roman" w:hAnsi="Sylfaen" w:cs="Times New Roman"/>
          <w:sz w:val="24"/>
          <w:szCs w:val="24"/>
          <w:lang w:val="ka-GE"/>
        </w:rPr>
      </w:pPr>
    </w:p>
    <w:bookmarkEnd w:id="0"/>
    <w:p w14:paraId="748B0EBB" w14:textId="77777777" w:rsidR="00B35250" w:rsidRPr="00DD35A3"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471D21">
        <w:rPr>
          <w:rFonts w:ascii="Sylfaen" w:hAnsi="Sylfaen" w:cs="Sylfaen"/>
          <w:b/>
          <w:bCs/>
          <w:sz w:val="24"/>
          <w:szCs w:val="24"/>
          <w:lang w:val="ka-GE"/>
        </w:rPr>
        <w:t xml:space="preserve">მუხლი 2. </w:t>
      </w:r>
      <w:r w:rsidRPr="00471D21">
        <w:rPr>
          <w:rFonts w:ascii="Sylfaen" w:hAnsi="Sylfaen" w:cs="Sylfaen"/>
          <w:sz w:val="24"/>
          <w:szCs w:val="24"/>
          <w:lang w:val="ka-GE"/>
        </w:rPr>
        <w:t xml:space="preserve"> ეს კანონი ამოქმედდეს</w:t>
      </w:r>
      <w:r w:rsidR="009800A3" w:rsidRPr="00471D21">
        <w:rPr>
          <w:rFonts w:ascii="Sylfaen" w:hAnsi="Sylfaen" w:cs="Sylfaen"/>
          <w:sz w:val="24"/>
          <w:szCs w:val="24"/>
          <w:lang w:val="ka-GE"/>
        </w:rPr>
        <w:t xml:space="preserve"> </w:t>
      </w:r>
      <w:r w:rsidR="003F3169" w:rsidRPr="00471D21">
        <w:rPr>
          <w:rFonts w:ascii="Sylfaen" w:eastAsia="Times New Roman" w:hAnsi="Sylfaen" w:cs="Times New Roman"/>
          <w:sz w:val="24"/>
          <w:szCs w:val="24"/>
          <w:lang w:val="ka-GE"/>
        </w:rPr>
        <w:t>2020 წლის 1 ივნისიდან.</w:t>
      </w:r>
      <w:r w:rsidRPr="00DD35A3">
        <w:rPr>
          <w:rFonts w:ascii="Sylfaen" w:hAnsi="Sylfaen" w:cs="Sylfaen"/>
          <w:sz w:val="24"/>
          <w:szCs w:val="24"/>
          <w:lang w:val="ka-GE"/>
        </w:rPr>
        <w:t xml:space="preserve"> </w:t>
      </w:r>
    </w:p>
    <w:p w14:paraId="15C1067C" w14:textId="77777777"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14:paraId="292281EA" w14:textId="77777777"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14:paraId="2BDEB0B2" w14:textId="77777777" w:rsidR="00873237" w:rsidRDefault="00B35250" w:rsidP="003F0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14:paraId="192D6978" w14:textId="77777777" w:rsidR="00873237" w:rsidRDefault="00873237" w:rsidP="00873237">
      <w:pPr>
        <w:rPr>
          <w:rFonts w:ascii="Sylfaen" w:hAnsi="Sylfaen"/>
          <w:sz w:val="24"/>
          <w:szCs w:val="24"/>
          <w:lang w:val="ka-GE"/>
        </w:rPr>
      </w:pPr>
    </w:p>
    <w:p w14:paraId="7E33DB09" w14:textId="77777777" w:rsidR="00873237" w:rsidRDefault="00873237" w:rsidP="00873237">
      <w:pPr>
        <w:tabs>
          <w:tab w:val="left" w:pos="10170"/>
        </w:tabs>
        <w:ind w:right="90"/>
        <w:jc w:val="center"/>
        <w:rPr>
          <w:rFonts w:ascii="Sylfaen" w:hAnsi="Sylfaen"/>
          <w:sz w:val="24"/>
          <w:szCs w:val="24"/>
        </w:rPr>
      </w:pPr>
    </w:p>
    <w:p w14:paraId="2666DC2F" w14:textId="77777777" w:rsidR="00873237" w:rsidRDefault="00873237" w:rsidP="00873237">
      <w:pPr>
        <w:tabs>
          <w:tab w:val="left" w:pos="10170"/>
        </w:tabs>
        <w:ind w:right="90"/>
        <w:jc w:val="center"/>
        <w:rPr>
          <w:rFonts w:ascii="Sylfaen" w:hAnsi="Sylfaen"/>
          <w:sz w:val="24"/>
          <w:szCs w:val="24"/>
        </w:rPr>
      </w:pPr>
    </w:p>
    <w:p w14:paraId="5319D0EA" w14:textId="77777777" w:rsidR="00873237" w:rsidRDefault="00873237" w:rsidP="00873237">
      <w:pPr>
        <w:tabs>
          <w:tab w:val="left" w:pos="10170"/>
        </w:tabs>
        <w:ind w:right="90"/>
        <w:jc w:val="center"/>
        <w:rPr>
          <w:rFonts w:ascii="Sylfaen" w:hAnsi="Sylfaen"/>
          <w:sz w:val="24"/>
          <w:szCs w:val="24"/>
        </w:rPr>
      </w:pPr>
    </w:p>
    <w:p w14:paraId="207072AF" w14:textId="77777777" w:rsidR="00873237" w:rsidRDefault="00873237" w:rsidP="00873237">
      <w:pPr>
        <w:tabs>
          <w:tab w:val="left" w:pos="10170"/>
        </w:tabs>
        <w:ind w:right="90"/>
        <w:jc w:val="center"/>
        <w:rPr>
          <w:rFonts w:ascii="Sylfaen" w:hAnsi="Sylfaen"/>
          <w:sz w:val="24"/>
          <w:szCs w:val="24"/>
        </w:rPr>
      </w:pPr>
    </w:p>
    <w:p w14:paraId="14EC569A" w14:textId="77777777" w:rsidR="00873237" w:rsidRDefault="00873237" w:rsidP="00873237">
      <w:pPr>
        <w:tabs>
          <w:tab w:val="left" w:pos="10170"/>
        </w:tabs>
        <w:ind w:right="90"/>
        <w:jc w:val="center"/>
        <w:rPr>
          <w:rFonts w:ascii="Sylfaen" w:hAnsi="Sylfaen"/>
          <w:sz w:val="24"/>
          <w:szCs w:val="24"/>
        </w:rPr>
      </w:pPr>
    </w:p>
    <w:p w14:paraId="49C3202C" w14:textId="77777777" w:rsidR="00873237" w:rsidRPr="005B6ACA" w:rsidRDefault="00873237" w:rsidP="00873237">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14:paraId="5DB603BC" w14:textId="77777777" w:rsidR="00873237" w:rsidRDefault="00873237" w:rsidP="008732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rPr>
      </w:pPr>
      <w:r>
        <w:rPr>
          <w:rFonts w:ascii="Sylfaen" w:hAnsi="Sylfaen"/>
          <w:b/>
          <w:sz w:val="24"/>
          <w:szCs w:val="24"/>
          <w:lang w:val="ka-GE"/>
        </w:rPr>
        <w:t>საქართველოს კანონის პროექტზე</w:t>
      </w:r>
    </w:p>
    <w:p w14:paraId="2ABA35A4" w14:textId="77777777" w:rsidR="00873237" w:rsidRPr="00873237" w:rsidRDefault="00873237" w:rsidP="008732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rPr>
      </w:pPr>
      <w:r w:rsidRPr="00873237">
        <w:rPr>
          <w:rFonts w:ascii="Sylfaen" w:hAnsi="Sylfaen"/>
          <w:b/>
          <w:sz w:val="24"/>
          <w:szCs w:val="24"/>
        </w:rPr>
        <w:t>„არასრულწლოვანთა მართლმსაჯულების კოდექსში ცვლილების შეტანის შესახებ“</w:t>
      </w:r>
    </w:p>
    <w:p w14:paraId="44A88F19" w14:textId="77777777" w:rsidR="00873237" w:rsidRPr="005B6ACA" w:rsidRDefault="00873237" w:rsidP="008732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1186869B" w14:textId="77777777" w:rsidR="00873237" w:rsidRPr="005B6ACA" w:rsidRDefault="00873237" w:rsidP="00873237">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14:paraId="70E69796" w14:textId="77777777" w:rsidR="00873237" w:rsidRPr="005B6ACA" w:rsidRDefault="00873237" w:rsidP="00873237">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14:paraId="595246EF" w14:textId="77777777" w:rsidR="00873237" w:rsidRPr="00424152" w:rsidRDefault="00873237" w:rsidP="00873237">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14:paraId="447818F7" w14:textId="77777777" w:rsidR="007F5B78" w:rsidRDefault="007F5B78" w:rsidP="007F5B78">
      <w:pPr>
        <w:pStyle w:val="ListParagraph"/>
        <w:ind w:left="0" w:firstLine="720"/>
        <w:jc w:val="both"/>
        <w:rPr>
          <w:rFonts w:ascii="Sylfaen" w:eastAsiaTheme="minorHAnsi" w:hAnsi="Sylfaen" w:cstheme="minorBidi"/>
          <w:sz w:val="24"/>
          <w:szCs w:val="24"/>
          <w:lang w:val="ka-GE"/>
        </w:rPr>
      </w:pPr>
      <w:r>
        <w:rPr>
          <w:rFonts w:ascii="Sylfaen" w:eastAsiaTheme="minorHAnsi" w:hAnsi="Sylfaen"/>
          <w:sz w:val="24"/>
          <w:szCs w:val="24"/>
          <w:lang w:val="ka-GE"/>
        </w:rPr>
        <w:t xml:space="preserve">ბავშვის უფლებათა კოდექსი ითვალისწინებს არასრულწლოვნის მონაწილეობით ქმედების განხორციელებისას უფლებამოსილი ორგანოების ვალდებულებას არასრულწლოვანს მიაწოდონ ინფორმაცია </w:t>
      </w:r>
      <w:r>
        <w:rPr>
          <w:rFonts w:ascii="Sylfaen" w:hAnsi="Sylfaen"/>
          <w:sz w:val="24"/>
          <w:szCs w:val="24"/>
          <w:lang w:val="ka-GE"/>
        </w:rPr>
        <w:t xml:space="preserve">მისი უფლებების, </w:t>
      </w:r>
      <w:r>
        <w:rPr>
          <w:rFonts w:ascii="Sylfaen" w:eastAsiaTheme="minorHAnsi" w:hAnsi="Sylfaen" w:cstheme="minorBidi"/>
          <w:sz w:val="24"/>
          <w:szCs w:val="24"/>
          <w:lang w:val="ka-GE"/>
        </w:rPr>
        <w:t xml:space="preserve">მართლმსაჯულების პროცესის, </w:t>
      </w:r>
      <w:r>
        <w:rPr>
          <w:rFonts w:ascii="Sylfaen" w:hAnsi="Sylfaen"/>
          <w:sz w:val="24"/>
          <w:szCs w:val="24"/>
          <w:lang w:val="ka-GE"/>
        </w:rPr>
        <w:t xml:space="preserve"> პროცესის შედეგების, </w:t>
      </w:r>
      <w:r>
        <w:rPr>
          <w:rFonts w:ascii="Sylfaen" w:eastAsiaTheme="minorHAnsi" w:hAnsi="Sylfaen" w:cstheme="minorBidi"/>
          <w:sz w:val="24"/>
          <w:szCs w:val="24"/>
          <w:lang w:val="ka-GE"/>
        </w:rPr>
        <w:t xml:space="preserve">მხარდაჭერის და გასაჩივრების მექანიზმების შესახებ. არასრულწლოვანთა მართლმსაჯულების კოდექსით დარეგულირებულია პროცესის მონაწილისათვის უფლებების განმარტების საკითხი, თუმცა აღნიშნული რეგულაცია ვერ აკმაყოფილებს ბავშვის უფლებათა კოდექსით დადგენილ სტანდარტს. </w:t>
      </w:r>
    </w:p>
    <w:p w14:paraId="4E6282E9" w14:textId="77777777" w:rsidR="007F5B78" w:rsidRPr="00EF6101" w:rsidRDefault="007F5B78" w:rsidP="00CE4FBF">
      <w:pPr>
        <w:pStyle w:val="ListParagraph"/>
        <w:ind w:left="0" w:firstLine="720"/>
        <w:jc w:val="both"/>
        <w:rPr>
          <w:rFonts w:ascii="Sylfaen" w:eastAsia="Times New Roman" w:hAnsi="Sylfaen" w:cs="Times New Roman"/>
          <w:sz w:val="24"/>
          <w:szCs w:val="24"/>
          <w:lang w:val="ka-GE"/>
        </w:rPr>
      </w:pPr>
      <w:r>
        <w:rPr>
          <w:rFonts w:ascii="Sylfaen" w:eastAsiaTheme="minorHAnsi" w:hAnsi="Sylfaen" w:cstheme="minorBidi"/>
          <w:sz w:val="24"/>
          <w:szCs w:val="24"/>
          <w:lang w:val="ka-GE"/>
        </w:rPr>
        <w:t xml:space="preserve">ასევე, </w:t>
      </w:r>
      <w:r w:rsidR="00CE4FBF">
        <w:rPr>
          <w:rFonts w:ascii="Sylfaen" w:eastAsiaTheme="minorHAnsi" w:hAnsi="Sylfaen" w:cstheme="minorBidi"/>
          <w:sz w:val="24"/>
          <w:szCs w:val="24"/>
          <w:lang w:val="ka-GE"/>
        </w:rPr>
        <w:t xml:space="preserve">პრობლემას წარმოადგენს ის გარემოება, რომ არასრულწლოვანთა მართლმსაჯულების კოდექსი არ შეიცავს აღკვეთის ღონისძიების სახით </w:t>
      </w:r>
      <w:r w:rsidR="00CE4FBF" w:rsidRPr="007F5B78">
        <w:rPr>
          <w:rFonts w:ascii="Sylfaen" w:eastAsiaTheme="minorHAnsi" w:hAnsi="Sylfaen" w:cstheme="minorBidi"/>
          <w:sz w:val="24"/>
          <w:szCs w:val="24"/>
          <w:lang w:val="ka-GE"/>
        </w:rPr>
        <w:t>დაპატიმრებ</w:t>
      </w:r>
      <w:r w:rsidR="00CE4FBF">
        <w:rPr>
          <w:rFonts w:ascii="Sylfaen" w:eastAsiaTheme="minorHAnsi" w:hAnsi="Sylfaen" w:cstheme="minorBidi"/>
          <w:sz w:val="24"/>
          <w:szCs w:val="24"/>
          <w:lang w:val="ka-GE"/>
        </w:rPr>
        <w:t xml:space="preserve">ის გამოყენების აკრძალვას </w:t>
      </w:r>
      <w:r w:rsidR="00CE4FBF" w:rsidRPr="007F5B78">
        <w:rPr>
          <w:rFonts w:ascii="Sylfaen" w:eastAsiaTheme="minorHAnsi" w:hAnsi="Sylfaen" w:cstheme="minorBidi"/>
          <w:sz w:val="24"/>
          <w:szCs w:val="24"/>
          <w:lang w:val="ka-GE"/>
        </w:rPr>
        <w:t xml:space="preserve">განცალკევებული ან თანმხლების გარეშე დარჩენილი ბავშვის მიმართ ქვეყნის ტერიტორიაზე უკანონო შემოსვლის და ყოფნის გამო. </w:t>
      </w:r>
      <w:r w:rsidR="00CE4FBF">
        <w:rPr>
          <w:rFonts w:ascii="Sylfaen" w:eastAsiaTheme="minorHAnsi" w:hAnsi="Sylfaen" w:cstheme="minorBidi"/>
          <w:sz w:val="24"/>
          <w:szCs w:val="24"/>
          <w:lang w:val="ka-GE"/>
        </w:rPr>
        <w:t xml:space="preserve"> აღნიშნული მიდგომა არ შეესაბამება </w:t>
      </w:r>
      <w:r>
        <w:rPr>
          <w:rFonts w:ascii="Sylfaen" w:eastAsiaTheme="minorHAnsi" w:hAnsi="Sylfaen" w:cstheme="minorBidi"/>
          <w:sz w:val="24"/>
          <w:szCs w:val="24"/>
          <w:lang w:val="ka-GE"/>
        </w:rPr>
        <w:t>ბავშვის უფლებათა კოდექსით</w:t>
      </w:r>
      <w:r w:rsidR="00CE4FBF">
        <w:rPr>
          <w:rFonts w:ascii="Sylfaen" w:eastAsiaTheme="minorHAnsi" w:hAnsi="Sylfaen" w:cstheme="minorBidi"/>
          <w:sz w:val="24"/>
          <w:szCs w:val="24"/>
          <w:lang w:val="ka-GE"/>
        </w:rPr>
        <w:t xml:space="preserve"> დადგენილ მაღალ სტანდარტს, რომლის თანახმად, დასახელებუ შემთხვევებში არასრულწლოვნის დაპატიმრება დაუშვებელია. </w:t>
      </w:r>
    </w:p>
    <w:p w14:paraId="344513EA"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5919C7BB" w14:textId="77777777" w:rsidR="00873237" w:rsidRPr="00B80EC4" w:rsidRDefault="00873237" w:rsidP="00873237">
      <w:pPr>
        <w:spacing w:line="360" w:lineRule="auto"/>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873237">
        <w:rPr>
          <w:rFonts w:ascii="Sylfaen" w:hAnsi="Sylfaen"/>
          <w:sz w:val="24"/>
          <w:szCs w:val="24"/>
          <w:lang w:val="ka-GE"/>
        </w:rPr>
        <w:t>არასრულწლოვანთა მართლმსაჯულების კოდექს</w:t>
      </w:r>
      <w:r w:rsidR="00391295">
        <w:rPr>
          <w:rFonts w:ascii="Sylfaen" w:hAnsi="Sylfaen"/>
          <w:sz w:val="24"/>
          <w:szCs w:val="24"/>
          <w:lang w:val="ka-GE"/>
        </w:rPr>
        <w:t>ის</w:t>
      </w:r>
      <w:r w:rsidRPr="00873237">
        <w:rPr>
          <w:rFonts w:ascii="Sylfaen" w:hAnsi="Sylfaen"/>
          <w:sz w:val="24"/>
          <w:szCs w:val="24"/>
          <w:lang w:val="ka-GE"/>
        </w:rPr>
        <w:t xml:space="preserve"> </w:t>
      </w:r>
      <w:r>
        <w:rPr>
          <w:rFonts w:ascii="Sylfaen" w:hAnsi="Sylfaen"/>
          <w:sz w:val="24"/>
          <w:szCs w:val="24"/>
          <w:lang w:val="ka-GE"/>
        </w:rPr>
        <w:t>შესაბამისობაშ</w:t>
      </w:r>
      <w:r w:rsidR="00391295">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4D1034F6" w14:textId="77777777" w:rsidR="00873237" w:rsidRPr="00424152" w:rsidRDefault="00873237" w:rsidP="00873237">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14:paraId="01CCAE04" w14:textId="77777777" w:rsidR="00873237" w:rsidRPr="005B6ACA" w:rsidRDefault="00CE4FBF" w:rsidP="00873237">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კანონპროექტის მიღებით არასრულწლოვანთა მართლმსაჯულების პროცესში არასრულწლოვნის მონაწილეობით ქმედების განხორციელებისას უზრუნველყოფილ იქნება უფლებამოსილი ორგანოების მიერ არასრულწლოვანისთვის ინფორმაციის მიწოდება არა მხოლოდ პროცესუალურ საკითხებზე, არამედ, ასევე პროცესის შედეგების, მხარდაჭერის და გასაჩივრების მექანიზმების შესახებ.</w:t>
      </w:r>
    </w:p>
    <w:p w14:paraId="243C9178" w14:textId="77777777" w:rsidR="00873237" w:rsidRPr="005B6ACA" w:rsidRDefault="00873237" w:rsidP="00873237">
      <w:pPr>
        <w:tabs>
          <w:tab w:val="left" w:pos="10170"/>
        </w:tabs>
        <w:spacing w:after="0"/>
        <w:ind w:right="90" w:firstLine="720"/>
        <w:jc w:val="both"/>
        <w:rPr>
          <w:rFonts w:ascii="Sylfaen" w:hAnsi="Sylfaen"/>
          <w:sz w:val="24"/>
          <w:szCs w:val="24"/>
          <w:lang w:val="ka-GE"/>
        </w:rPr>
      </w:pPr>
    </w:p>
    <w:p w14:paraId="42A55D0C" w14:textId="77777777" w:rsidR="00873237"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14:paraId="5CEF6588" w14:textId="77777777" w:rsidR="00873237" w:rsidRDefault="00FC778E" w:rsidP="00873237">
      <w:pPr>
        <w:pStyle w:val="mimgebixml"/>
        <w:spacing w:line="276" w:lineRule="auto"/>
        <w:ind w:right="90" w:firstLine="720"/>
        <w:jc w:val="both"/>
        <w:rPr>
          <w:rFonts w:eastAsiaTheme="minorHAnsi" w:cs="Sylfaen"/>
          <w:b w:val="0"/>
          <w:sz w:val="24"/>
          <w:szCs w:val="24"/>
          <w:lang w:val="ka-GE"/>
        </w:rPr>
      </w:pPr>
      <w:r>
        <w:rPr>
          <w:rFonts w:eastAsiaTheme="minorHAnsi" w:cs="Sylfaen"/>
          <w:b w:val="0"/>
          <w:sz w:val="24"/>
          <w:szCs w:val="24"/>
          <w:lang w:val="ka-GE"/>
        </w:rPr>
        <w:t xml:space="preserve">კანონპროექტის თანახმად, </w:t>
      </w:r>
      <w:r w:rsidRPr="00FC778E">
        <w:rPr>
          <w:rFonts w:eastAsiaTheme="minorHAnsi" w:cs="Sylfaen"/>
          <w:b w:val="0"/>
          <w:sz w:val="24"/>
          <w:szCs w:val="24"/>
          <w:lang w:val="ka-GE"/>
        </w:rPr>
        <w:t xml:space="preserve">არასრულწლოვანთა მართლმსაჯულების პროცესში არასრულწლოვნის მონაწილეობით ქმედების განხორციელებისას უფლებამოსილი </w:t>
      </w:r>
      <w:r w:rsidRPr="00FC778E">
        <w:rPr>
          <w:rFonts w:eastAsiaTheme="minorHAnsi" w:cs="Sylfaen"/>
          <w:b w:val="0"/>
          <w:sz w:val="24"/>
          <w:szCs w:val="24"/>
          <w:lang w:val="ka-GE"/>
        </w:rPr>
        <w:lastRenderedPageBreak/>
        <w:t>ორგანოები ვალდებულნი არიან არასრულწლოვანს მიაწოდონ ინფორმაცია მისი უფლებების, მართლმსაჯულების პროცესის,  პროცესის შედეგების, მხარდაჭერის და გასაჩივრების მექანიზმების შესახებ.</w:t>
      </w:r>
    </w:p>
    <w:p w14:paraId="6716F9E1" w14:textId="77777777" w:rsidR="00FC778E" w:rsidRDefault="00FC778E" w:rsidP="00873237">
      <w:pPr>
        <w:pStyle w:val="mimgebixml"/>
        <w:spacing w:line="276" w:lineRule="auto"/>
        <w:ind w:right="90" w:firstLine="720"/>
        <w:jc w:val="both"/>
        <w:rPr>
          <w:rFonts w:eastAsiaTheme="minorHAnsi" w:cs="Sylfaen"/>
          <w:b w:val="0"/>
          <w:sz w:val="24"/>
          <w:szCs w:val="24"/>
          <w:lang w:val="ka-GE"/>
        </w:rPr>
      </w:pPr>
      <w:r>
        <w:rPr>
          <w:rFonts w:eastAsiaTheme="minorHAnsi" w:cs="Sylfaen"/>
          <w:b w:val="0"/>
          <w:sz w:val="24"/>
          <w:szCs w:val="24"/>
          <w:lang w:val="ka-GE"/>
        </w:rPr>
        <w:t xml:space="preserve">აგრეთვე, </w:t>
      </w:r>
      <w:r w:rsidRPr="00FC778E">
        <w:rPr>
          <w:rFonts w:eastAsiaTheme="minorHAnsi" w:cs="Sylfaen"/>
          <w:b w:val="0"/>
          <w:sz w:val="24"/>
          <w:szCs w:val="24"/>
          <w:lang w:val="ka-GE"/>
        </w:rPr>
        <w:t>დაუშვებელი</w:t>
      </w:r>
      <w:r>
        <w:rPr>
          <w:rFonts w:eastAsiaTheme="minorHAnsi" w:cs="Sylfaen"/>
          <w:b w:val="0"/>
          <w:sz w:val="24"/>
          <w:szCs w:val="24"/>
          <w:lang w:val="ka-GE"/>
        </w:rPr>
        <w:t xml:space="preserve"> ხდება</w:t>
      </w:r>
      <w:r w:rsidRPr="00FC778E">
        <w:rPr>
          <w:rFonts w:eastAsiaTheme="minorHAnsi" w:cs="Sylfaen"/>
          <w:b w:val="0"/>
          <w:sz w:val="24"/>
          <w:szCs w:val="24"/>
          <w:lang w:val="ka-GE"/>
        </w:rPr>
        <w:t xml:space="preserve"> განცალკევებული ან თანმხლების გარეშე დარჩენილი ბავშვის მიმართ </w:t>
      </w:r>
      <w:r>
        <w:rPr>
          <w:rFonts w:eastAsiaTheme="minorHAnsi" w:cs="Sylfaen"/>
          <w:b w:val="0"/>
          <w:sz w:val="24"/>
          <w:szCs w:val="24"/>
          <w:lang w:val="ka-GE"/>
        </w:rPr>
        <w:t>აღკვეთის ღონისძიების სახით</w:t>
      </w:r>
      <w:r w:rsidRPr="00FC778E">
        <w:rPr>
          <w:rFonts w:eastAsiaTheme="minorHAnsi" w:cs="Sylfaen"/>
          <w:b w:val="0"/>
          <w:sz w:val="24"/>
          <w:szCs w:val="24"/>
          <w:lang w:val="ka-GE"/>
        </w:rPr>
        <w:t xml:space="preserve"> დაპატიმრებ</w:t>
      </w:r>
      <w:r>
        <w:rPr>
          <w:rFonts w:eastAsiaTheme="minorHAnsi" w:cs="Sylfaen"/>
          <w:b w:val="0"/>
          <w:sz w:val="24"/>
          <w:szCs w:val="24"/>
          <w:lang w:val="ka-GE"/>
        </w:rPr>
        <w:t>ის გამოყენება</w:t>
      </w:r>
      <w:r w:rsidRPr="00FC778E">
        <w:rPr>
          <w:rFonts w:eastAsiaTheme="minorHAnsi" w:cs="Sylfaen"/>
          <w:b w:val="0"/>
          <w:sz w:val="24"/>
          <w:szCs w:val="24"/>
          <w:lang w:val="ka-GE"/>
        </w:rPr>
        <w:t xml:space="preserve"> ქვეყნის ტერიტორიაზე უკანონო შემოსვლის და ყოფნის გამო.</w:t>
      </w:r>
    </w:p>
    <w:p w14:paraId="777D2705"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174ED571" w14:textId="77777777" w:rsidR="00873237" w:rsidRDefault="00873237" w:rsidP="00873237">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465F15CF"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48D48429" w14:textId="77777777" w:rsidR="00873237" w:rsidRPr="00881416" w:rsidRDefault="00873237" w:rsidP="00873237">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3F3169">
        <w:rPr>
          <w:rFonts w:ascii="Sylfaen" w:hAnsi="Sylfaen"/>
          <w:sz w:val="24"/>
          <w:szCs w:val="24"/>
          <w:lang w:val="ka-GE"/>
        </w:rPr>
        <w:t xml:space="preserve">დება </w:t>
      </w:r>
      <w:r w:rsidR="003F3169" w:rsidRPr="00480280">
        <w:rPr>
          <w:rFonts w:ascii="Sylfaen" w:eastAsia="Times New Roman" w:hAnsi="Sylfaen" w:cs="Times New Roman"/>
          <w:sz w:val="24"/>
          <w:szCs w:val="24"/>
          <w:lang w:val="ka-GE"/>
        </w:rPr>
        <w:t>2020 წლის 1 ივნისიდან.</w:t>
      </w:r>
    </w:p>
    <w:p w14:paraId="1BDEEA32"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51CB36B6" w14:textId="77777777" w:rsidR="00873237" w:rsidRPr="003F3169" w:rsidRDefault="00873237" w:rsidP="00873237">
      <w:pPr>
        <w:spacing w:before="120" w:after="120"/>
        <w:ind w:firstLine="720"/>
        <w:jc w:val="both"/>
        <w:rPr>
          <w:rFonts w:ascii="Sylfaen" w:hAnsi="Sylfaen"/>
          <w:sz w:val="24"/>
          <w:szCs w:val="24"/>
          <w:lang w:val="ka-GE"/>
        </w:rPr>
      </w:pPr>
      <w:r w:rsidRPr="003F3169">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7BFEC6F2"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 კანონპროექტის ფინანსური დასაბუთება:</w:t>
      </w:r>
    </w:p>
    <w:p w14:paraId="78232227"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14:paraId="76E23643"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სახელმწიფო ბიუჯეტი.</w:t>
      </w:r>
    </w:p>
    <w:p w14:paraId="5F48B188"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ბ.ბ) კანონპროექტის გავლენა ბიუჯეტის საშემოსავლო ნაწილზე:</w:t>
      </w:r>
    </w:p>
    <w:p w14:paraId="02CF9EBA"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720903C2"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ბ.გ) კანონპროექტის გავლენა ბიუჯეტის ხარჯვით ნაწილზე:</w:t>
      </w:r>
    </w:p>
    <w:p w14:paraId="5EE2208A"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240730AA"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ბ.დ) სახელმწიფოს ახალი ფინანსური ვალდებულებები:</w:t>
      </w:r>
    </w:p>
    <w:p w14:paraId="42E2BE21"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0FA4BFB3"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lastRenderedPageBreak/>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3E5AE2FC"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14:paraId="3FC2B6C9" w14:textId="77777777" w:rsidR="00B31D60" w:rsidRPr="003F3169" w:rsidRDefault="00B31D60" w:rsidP="00B31D60">
      <w:pPr>
        <w:ind w:firstLine="720"/>
        <w:jc w:val="both"/>
        <w:rPr>
          <w:rFonts w:ascii="Sylfaen" w:eastAsiaTheme="minorEastAsia" w:hAnsi="Sylfaen"/>
          <w:b/>
          <w:lang w:val="ka-GE"/>
        </w:rPr>
      </w:pPr>
      <w:r w:rsidRPr="003F3169">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2BEB23AC" w14:textId="77777777" w:rsidR="00B31D60" w:rsidRPr="003F3169" w:rsidRDefault="00B31D60" w:rsidP="00B31D60">
      <w:pPr>
        <w:ind w:firstLine="720"/>
        <w:jc w:val="both"/>
        <w:rPr>
          <w:rFonts w:ascii="Sylfaen" w:eastAsiaTheme="minorEastAsia" w:hAnsi="Sylfaen"/>
          <w:lang w:val="ka-GE"/>
        </w:rPr>
      </w:pPr>
      <w:r w:rsidRPr="003F3169">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76C4517A"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3F3169">
        <w:rPr>
          <w:rFonts w:ascii="Sylfaen" w:hAnsi="Sylfaen"/>
          <w:b/>
          <w:sz w:val="24"/>
          <w:szCs w:val="24"/>
          <w:lang w:val="ka-GE"/>
        </w:rPr>
        <w:t>გ) კანონპროექტის მიმართება საერთაშორისო სამართლებრივ</w:t>
      </w:r>
      <w:r w:rsidRPr="005B6ACA">
        <w:rPr>
          <w:rFonts w:ascii="Sylfaen" w:hAnsi="Sylfaen"/>
          <w:b/>
          <w:sz w:val="24"/>
          <w:szCs w:val="24"/>
          <w:lang w:val="ka-GE"/>
        </w:rPr>
        <w:t xml:space="preserve"> სტანდარტებთან:</w:t>
      </w:r>
    </w:p>
    <w:p w14:paraId="6476A6E9"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14:paraId="36EE2092" w14:textId="77777777" w:rsidR="00873237" w:rsidRPr="005B6ACA" w:rsidRDefault="00873237" w:rsidP="00873237">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14:paraId="68645867"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CA05FAD" w14:textId="77777777" w:rsidR="00873237" w:rsidRPr="005B6ACA" w:rsidRDefault="00873237" w:rsidP="00873237">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F835E24"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14:paraId="4DBF734E" w14:textId="77777777" w:rsidR="00873237" w:rsidRDefault="00873237" w:rsidP="00873237">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44B74436"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5C0B365" w14:textId="77777777" w:rsidR="00873237" w:rsidRPr="00881416" w:rsidRDefault="00873237" w:rsidP="00873237">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14:paraId="0CAEF320" w14:textId="77777777" w:rsidR="00873237" w:rsidRPr="005B6ACA" w:rsidRDefault="00873237" w:rsidP="00873237">
      <w:pPr>
        <w:tabs>
          <w:tab w:val="left" w:pos="10170"/>
        </w:tabs>
        <w:spacing w:after="0"/>
        <w:ind w:right="90" w:firstLine="720"/>
        <w:jc w:val="both"/>
        <w:rPr>
          <w:rFonts w:ascii="Sylfaen" w:hAnsi="Sylfaen"/>
          <w:sz w:val="24"/>
          <w:szCs w:val="24"/>
          <w:lang w:val="ka-GE"/>
        </w:rPr>
      </w:pPr>
    </w:p>
    <w:p w14:paraId="2EB1C667"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14:paraId="75152499" w14:textId="77777777" w:rsidR="00873237" w:rsidRPr="005B6ACA" w:rsidRDefault="00873237" w:rsidP="008732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14:paraId="24198B01" w14:textId="132CF8F3" w:rsidR="00471D21" w:rsidRPr="00FF57FE" w:rsidRDefault="00471D21" w:rsidP="00471D21">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(უნისეფის) საქართ</w:t>
      </w:r>
      <w:r w:rsidR="00DB2AE8">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2F09AAFF" w14:textId="77777777" w:rsidR="00873237" w:rsidRPr="005B6ACA" w:rsidRDefault="00873237" w:rsidP="00873237">
      <w:pPr>
        <w:tabs>
          <w:tab w:val="left" w:pos="10170"/>
        </w:tabs>
        <w:spacing w:after="0"/>
        <w:ind w:right="90" w:firstLine="720"/>
        <w:jc w:val="both"/>
        <w:rPr>
          <w:rFonts w:ascii="Sylfaen" w:hAnsi="Sylfaen"/>
          <w:sz w:val="24"/>
          <w:szCs w:val="24"/>
          <w:lang w:val="ka-GE"/>
        </w:rPr>
      </w:pPr>
      <w:r w:rsidRPr="005B6ACA">
        <w:rPr>
          <w:rFonts w:ascii="Sylfaen" w:hAnsi="Sylfaen"/>
          <w:b/>
          <w:sz w:val="24"/>
          <w:szCs w:val="24"/>
          <w:lang w:val="ka-GE"/>
        </w:rPr>
        <w:lastRenderedPageBreak/>
        <w:t>დ.ბ)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20F1BD46" w14:textId="77777777" w:rsidR="00873237" w:rsidRDefault="00873237" w:rsidP="00873237">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14:paraId="74F6E897" w14:textId="77777777" w:rsidR="00873237" w:rsidRDefault="00873237" w:rsidP="00873237">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F45D19B" w14:textId="77777777" w:rsidR="00873237" w:rsidRPr="00881416" w:rsidRDefault="00873237" w:rsidP="00873237">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14:paraId="7486FEBF" w14:textId="77777777" w:rsidR="00873237" w:rsidRPr="005B6ACA" w:rsidRDefault="00873237" w:rsidP="00873237">
      <w:pPr>
        <w:tabs>
          <w:tab w:val="left" w:pos="10170"/>
        </w:tabs>
        <w:spacing w:after="0"/>
        <w:ind w:right="90" w:firstLine="720"/>
        <w:jc w:val="both"/>
        <w:rPr>
          <w:rFonts w:ascii="Sylfaen" w:hAnsi="Sylfaen"/>
          <w:sz w:val="24"/>
          <w:szCs w:val="24"/>
          <w:lang w:val="ka-GE"/>
        </w:rPr>
      </w:pPr>
    </w:p>
    <w:p w14:paraId="79E7E49D"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14:paraId="503A455C" w14:textId="77777777" w:rsidR="005E7D1A" w:rsidRDefault="005E7D1A" w:rsidP="00873237">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14:paraId="6683AAAB" w14:textId="77777777" w:rsidR="00873237" w:rsidRPr="005B6ACA" w:rsidRDefault="00873237" w:rsidP="00873237">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14:paraId="64375090" w14:textId="77777777" w:rsidR="00873237" w:rsidRPr="002D596F" w:rsidRDefault="00873237" w:rsidP="00873237">
      <w:pPr>
        <w:tabs>
          <w:tab w:val="left" w:pos="10170"/>
        </w:tabs>
        <w:spacing w:after="0"/>
        <w:ind w:right="-720"/>
        <w:jc w:val="both"/>
        <w:rPr>
          <w:rFonts w:ascii="Sylfaen" w:hAnsi="Sylfaen"/>
          <w:sz w:val="24"/>
          <w:szCs w:val="24"/>
          <w:lang w:val="ka-GE"/>
        </w:rPr>
      </w:pPr>
      <w:r w:rsidRPr="002D596F">
        <w:rPr>
          <w:rFonts w:ascii="Sylfaen" w:hAnsi="Sylfaen"/>
          <w:sz w:val="24"/>
          <w:szCs w:val="24"/>
          <w:lang w:val="ka-GE"/>
        </w:rPr>
        <w:t>საქართველოს პარლამენტი</w:t>
      </w:r>
      <w:r>
        <w:rPr>
          <w:rFonts w:ascii="Sylfaen" w:hAnsi="Sylfaen"/>
          <w:sz w:val="24"/>
          <w:szCs w:val="24"/>
          <w:lang w:val="ka-GE"/>
        </w:rPr>
        <w:t>ს წევრები: ?????????????????</w:t>
      </w:r>
    </w:p>
    <w:p w14:paraId="391A9A7A" w14:textId="77777777" w:rsidR="00873237" w:rsidRDefault="00873237" w:rsidP="00873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4CA4FEF4" w14:textId="77777777" w:rsidR="00B35250" w:rsidRPr="00873237" w:rsidRDefault="00B35250" w:rsidP="00873237">
      <w:pPr>
        <w:tabs>
          <w:tab w:val="left" w:pos="3345"/>
        </w:tabs>
        <w:rPr>
          <w:rFonts w:ascii="Sylfaen" w:hAnsi="Sylfaen"/>
          <w:sz w:val="24"/>
          <w:szCs w:val="24"/>
          <w:lang w:val="ka-GE"/>
        </w:rPr>
      </w:pPr>
    </w:p>
    <w:sectPr w:rsidR="00B35250" w:rsidRPr="00873237" w:rsidSect="00DD1047">
      <w:pgSz w:w="12240" w:h="15840"/>
      <w:pgMar w:top="720" w:right="81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A1C0" w14:textId="77777777" w:rsidR="00A646C5" w:rsidRDefault="00A646C5" w:rsidP="00873237">
      <w:pPr>
        <w:spacing w:after="0" w:line="240" w:lineRule="auto"/>
      </w:pPr>
      <w:r>
        <w:separator/>
      </w:r>
    </w:p>
  </w:endnote>
  <w:endnote w:type="continuationSeparator" w:id="0">
    <w:p w14:paraId="67B5ED53" w14:textId="77777777" w:rsidR="00A646C5" w:rsidRDefault="00A646C5" w:rsidP="0087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B11EA" w14:textId="77777777" w:rsidR="00A646C5" w:rsidRDefault="00A646C5" w:rsidP="00873237">
      <w:pPr>
        <w:spacing w:after="0" w:line="240" w:lineRule="auto"/>
      </w:pPr>
      <w:r>
        <w:separator/>
      </w:r>
    </w:p>
  </w:footnote>
  <w:footnote w:type="continuationSeparator" w:id="0">
    <w:p w14:paraId="19D382E5" w14:textId="77777777" w:rsidR="00A646C5" w:rsidRDefault="00A646C5" w:rsidP="00873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E1663"/>
    <w:multiLevelType w:val="hybridMultilevel"/>
    <w:tmpl w:val="BCB043BA"/>
    <w:lvl w:ilvl="0" w:tplc="9CD2D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E6592"/>
    <w:multiLevelType w:val="hybridMultilevel"/>
    <w:tmpl w:val="899C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278F"/>
    <w:multiLevelType w:val="hybridMultilevel"/>
    <w:tmpl w:val="4942CA16"/>
    <w:lvl w:ilvl="0" w:tplc="60EE1E6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A5C0D"/>
    <w:multiLevelType w:val="hybridMultilevel"/>
    <w:tmpl w:val="3426126C"/>
    <w:lvl w:ilvl="0" w:tplc="E80C9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1"/>
  </w:num>
  <w:num w:numId="5">
    <w:abstractNumId w:val="15"/>
  </w:num>
  <w:num w:numId="6">
    <w:abstractNumId w:val="9"/>
  </w:num>
  <w:num w:numId="7">
    <w:abstractNumId w:val="14"/>
  </w:num>
  <w:num w:numId="8">
    <w:abstractNumId w:val="2"/>
  </w:num>
  <w:num w:numId="9">
    <w:abstractNumId w:val="1"/>
  </w:num>
  <w:num w:numId="10">
    <w:abstractNumId w:val="4"/>
  </w:num>
  <w:num w:numId="11">
    <w:abstractNumId w:val="20"/>
  </w:num>
  <w:num w:numId="12">
    <w:abstractNumId w:val="26"/>
  </w:num>
  <w:num w:numId="13">
    <w:abstractNumId w:val="7"/>
  </w:num>
  <w:num w:numId="14">
    <w:abstractNumId w:val="11"/>
  </w:num>
  <w:num w:numId="15">
    <w:abstractNumId w:val="27"/>
  </w:num>
  <w:num w:numId="16">
    <w:abstractNumId w:val="18"/>
  </w:num>
  <w:num w:numId="17">
    <w:abstractNumId w:val="6"/>
  </w:num>
  <w:num w:numId="18">
    <w:abstractNumId w:val="28"/>
  </w:num>
  <w:num w:numId="19">
    <w:abstractNumId w:val="22"/>
  </w:num>
  <w:num w:numId="20">
    <w:abstractNumId w:val="23"/>
  </w:num>
  <w:num w:numId="21">
    <w:abstractNumId w:val="12"/>
  </w:num>
  <w:num w:numId="22">
    <w:abstractNumId w:val="3"/>
  </w:num>
  <w:num w:numId="23">
    <w:abstractNumId w:val="16"/>
  </w:num>
  <w:num w:numId="24">
    <w:abstractNumId w:val="17"/>
  </w:num>
  <w:num w:numId="25">
    <w:abstractNumId w:val="25"/>
  </w:num>
  <w:num w:numId="26">
    <w:abstractNumId w:val="5"/>
  </w:num>
  <w:num w:numId="27">
    <w:abstractNumId w:val="24"/>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1995"/>
    <w:rsid w:val="00022E5E"/>
    <w:rsid w:val="00042BFC"/>
    <w:rsid w:val="00052335"/>
    <w:rsid w:val="0007303D"/>
    <w:rsid w:val="000B21B5"/>
    <w:rsid w:val="000B6FFF"/>
    <w:rsid w:val="000C12B4"/>
    <w:rsid w:val="000D59AD"/>
    <w:rsid w:val="000E70FD"/>
    <w:rsid w:val="00131556"/>
    <w:rsid w:val="00134711"/>
    <w:rsid w:val="001457B1"/>
    <w:rsid w:val="0015797B"/>
    <w:rsid w:val="00192C4D"/>
    <w:rsid w:val="001B0086"/>
    <w:rsid w:val="001C2E21"/>
    <w:rsid w:val="001D1B00"/>
    <w:rsid w:val="001F2B50"/>
    <w:rsid w:val="00232411"/>
    <w:rsid w:val="00235523"/>
    <w:rsid w:val="002715A7"/>
    <w:rsid w:val="00274791"/>
    <w:rsid w:val="00295C4A"/>
    <w:rsid w:val="002B6D7C"/>
    <w:rsid w:val="002C23F9"/>
    <w:rsid w:val="002D596F"/>
    <w:rsid w:val="002E326F"/>
    <w:rsid w:val="00383154"/>
    <w:rsid w:val="00391295"/>
    <w:rsid w:val="0039598F"/>
    <w:rsid w:val="003A1D89"/>
    <w:rsid w:val="003E6634"/>
    <w:rsid w:val="003F0DD9"/>
    <w:rsid w:val="003F3169"/>
    <w:rsid w:val="00400D6E"/>
    <w:rsid w:val="00414951"/>
    <w:rsid w:val="00421E29"/>
    <w:rsid w:val="00424152"/>
    <w:rsid w:val="00441F7E"/>
    <w:rsid w:val="00471D21"/>
    <w:rsid w:val="00473C88"/>
    <w:rsid w:val="00477290"/>
    <w:rsid w:val="00487EE7"/>
    <w:rsid w:val="004A770D"/>
    <w:rsid w:val="00500434"/>
    <w:rsid w:val="00507223"/>
    <w:rsid w:val="00520794"/>
    <w:rsid w:val="005450D2"/>
    <w:rsid w:val="005457DD"/>
    <w:rsid w:val="0055096E"/>
    <w:rsid w:val="00566CCA"/>
    <w:rsid w:val="0058132F"/>
    <w:rsid w:val="00581895"/>
    <w:rsid w:val="0058787F"/>
    <w:rsid w:val="005D5C6B"/>
    <w:rsid w:val="005D7960"/>
    <w:rsid w:val="005E7153"/>
    <w:rsid w:val="005E7D1A"/>
    <w:rsid w:val="005F316C"/>
    <w:rsid w:val="006264F3"/>
    <w:rsid w:val="00636979"/>
    <w:rsid w:val="00640CE7"/>
    <w:rsid w:val="00642B4E"/>
    <w:rsid w:val="00684D1A"/>
    <w:rsid w:val="006A7D17"/>
    <w:rsid w:val="006C1F46"/>
    <w:rsid w:val="006E042A"/>
    <w:rsid w:val="006E2FA4"/>
    <w:rsid w:val="007024EF"/>
    <w:rsid w:val="00706D43"/>
    <w:rsid w:val="00730AEF"/>
    <w:rsid w:val="00737DFE"/>
    <w:rsid w:val="007468CA"/>
    <w:rsid w:val="00777697"/>
    <w:rsid w:val="007F5B78"/>
    <w:rsid w:val="007F5EEF"/>
    <w:rsid w:val="00805B0B"/>
    <w:rsid w:val="00813B1B"/>
    <w:rsid w:val="00851884"/>
    <w:rsid w:val="00864883"/>
    <w:rsid w:val="008662F9"/>
    <w:rsid w:val="00873237"/>
    <w:rsid w:val="008735F1"/>
    <w:rsid w:val="008B21DB"/>
    <w:rsid w:val="008C3C75"/>
    <w:rsid w:val="008D0C99"/>
    <w:rsid w:val="008F2413"/>
    <w:rsid w:val="00912E03"/>
    <w:rsid w:val="0094533B"/>
    <w:rsid w:val="00961EB5"/>
    <w:rsid w:val="0097391A"/>
    <w:rsid w:val="009800A3"/>
    <w:rsid w:val="00990328"/>
    <w:rsid w:val="009C2D59"/>
    <w:rsid w:val="009D5216"/>
    <w:rsid w:val="009F11E0"/>
    <w:rsid w:val="00A062DE"/>
    <w:rsid w:val="00A646C5"/>
    <w:rsid w:val="00A65197"/>
    <w:rsid w:val="00A86973"/>
    <w:rsid w:val="00A940BA"/>
    <w:rsid w:val="00A94C96"/>
    <w:rsid w:val="00A962F5"/>
    <w:rsid w:val="00AA041D"/>
    <w:rsid w:val="00AD6831"/>
    <w:rsid w:val="00B010F1"/>
    <w:rsid w:val="00B31D60"/>
    <w:rsid w:val="00B35250"/>
    <w:rsid w:val="00B52566"/>
    <w:rsid w:val="00B74357"/>
    <w:rsid w:val="00BA305C"/>
    <w:rsid w:val="00BB541D"/>
    <w:rsid w:val="00BC5FEA"/>
    <w:rsid w:val="00C1560E"/>
    <w:rsid w:val="00C56BE4"/>
    <w:rsid w:val="00C677C5"/>
    <w:rsid w:val="00C84513"/>
    <w:rsid w:val="00C975C4"/>
    <w:rsid w:val="00CB0457"/>
    <w:rsid w:val="00CC31A8"/>
    <w:rsid w:val="00CD5908"/>
    <w:rsid w:val="00CE4FBF"/>
    <w:rsid w:val="00D67F6F"/>
    <w:rsid w:val="00D76665"/>
    <w:rsid w:val="00D83AF7"/>
    <w:rsid w:val="00D87194"/>
    <w:rsid w:val="00DB278D"/>
    <w:rsid w:val="00DB2AE8"/>
    <w:rsid w:val="00DC12E2"/>
    <w:rsid w:val="00DC46CE"/>
    <w:rsid w:val="00DD1047"/>
    <w:rsid w:val="00DD35A3"/>
    <w:rsid w:val="00DE2930"/>
    <w:rsid w:val="00DF17B9"/>
    <w:rsid w:val="00E01675"/>
    <w:rsid w:val="00E03A44"/>
    <w:rsid w:val="00E40A96"/>
    <w:rsid w:val="00E4422F"/>
    <w:rsid w:val="00E71C64"/>
    <w:rsid w:val="00E904F9"/>
    <w:rsid w:val="00E933F6"/>
    <w:rsid w:val="00EC42B8"/>
    <w:rsid w:val="00EF6101"/>
    <w:rsid w:val="00F16391"/>
    <w:rsid w:val="00F165AC"/>
    <w:rsid w:val="00F43BB0"/>
    <w:rsid w:val="00F86EDD"/>
    <w:rsid w:val="00F951FE"/>
    <w:rsid w:val="00FC3C50"/>
    <w:rsid w:val="00FC7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4B47"/>
  <w15:docId w15:val="{0AAEF9E4-ADD5-4861-BB8C-C7AD5C19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styleId="Header">
    <w:name w:val="header"/>
    <w:basedOn w:val="Normal"/>
    <w:link w:val="HeaderChar"/>
    <w:uiPriority w:val="99"/>
    <w:unhideWhenUsed/>
    <w:rsid w:val="0087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37"/>
  </w:style>
  <w:style w:type="paragraph" w:styleId="Footer">
    <w:name w:val="footer"/>
    <w:basedOn w:val="Normal"/>
    <w:link w:val="FooterChar"/>
    <w:uiPriority w:val="99"/>
    <w:unhideWhenUsed/>
    <w:rsid w:val="0087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8455">
      <w:bodyDiv w:val="1"/>
      <w:marLeft w:val="0"/>
      <w:marRight w:val="0"/>
      <w:marTop w:val="0"/>
      <w:marBottom w:val="0"/>
      <w:divBdr>
        <w:top w:val="none" w:sz="0" w:space="0" w:color="auto"/>
        <w:left w:val="none" w:sz="0" w:space="0" w:color="auto"/>
        <w:bottom w:val="none" w:sz="0" w:space="0" w:color="auto"/>
        <w:right w:val="none" w:sz="0" w:space="0" w:color="auto"/>
      </w:divBdr>
      <w:divsChild>
        <w:div w:id="1082948994">
          <w:marLeft w:val="0"/>
          <w:marRight w:val="0"/>
          <w:marTop w:val="0"/>
          <w:marBottom w:val="0"/>
          <w:divBdr>
            <w:top w:val="none" w:sz="0" w:space="0" w:color="auto"/>
            <w:left w:val="none" w:sz="0" w:space="0" w:color="auto"/>
            <w:bottom w:val="none" w:sz="0" w:space="0" w:color="auto"/>
            <w:right w:val="none" w:sz="0" w:space="0" w:color="auto"/>
          </w:divBdr>
        </w:div>
      </w:divsChild>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7</cp:revision>
  <cp:lastPrinted>2019-02-05T06:56:00Z</cp:lastPrinted>
  <dcterms:created xsi:type="dcterms:W3CDTF">2019-02-08T15:35:00Z</dcterms:created>
  <dcterms:modified xsi:type="dcterms:W3CDTF">2019-02-12T09:38:00Z</dcterms:modified>
</cp:coreProperties>
</file>